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134" w:rsidRPr="009C0F1C" w:rsidRDefault="00F86D3F" w:rsidP="00EF0E0C">
      <w:pPr>
        <w:contextualSpacing/>
        <w:jc w:val="center"/>
        <w:rPr>
          <w:rFonts w:asciiTheme="minorHAnsi" w:hAnsiTheme="minorHAnsi"/>
          <w:b/>
          <w:u w:val="single"/>
          <w:lang w:val="fr-FR"/>
        </w:rPr>
      </w:pPr>
      <w:r w:rsidRPr="009C0F1C">
        <w:rPr>
          <w:rFonts w:ascii="Calibri" w:hAnsi="Calibri"/>
          <w:b/>
          <w:u w:val="single"/>
          <w:lang w:val="fr-FR"/>
        </w:rPr>
        <w:t>Module G2 Exercice 4 Document 3 - Qu'est-ce qui est inclus dans les contrats de service ?</w:t>
      </w:r>
      <w:r w:rsidR="00B0385B" w:rsidRPr="00EF0E0C">
        <w:rPr>
          <w:rStyle w:val="Appelnotedebasdep"/>
          <w:rFonts w:asciiTheme="minorHAnsi" w:hAnsiTheme="minorHAnsi"/>
          <w:b/>
          <w:u w:val="single"/>
        </w:rPr>
        <w:footnoteReference w:id="1"/>
      </w:r>
    </w:p>
    <w:p w:rsidR="00671CD2" w:rsidRPr="009C0F1C" w:rsidRDefault="00671CD2" w:rsidP="00EF0E0C">
      <w:pPr>
        <w:contextualSpacing/>
        <w:rPr>
          <w:rFonts w:asciiTheme="minorHAnsi" w:hAnsiTheme="minorHAnsi"/>
          <w:b/>
          <w:u w:val="single"/>
          <w:lang w:val="fr-FR"/>
        </w:rPr>
      </w:pPr>
    </w:p>
    <w:p w:rsidR="009F1B2E" w:rsidRPr="009C0F1C" w:rsidRDefault="009F1B2E" w:rsidP="00EF0E0C">
      <w:pPr>
        <w:contextualSpacing/>
        <w:rPr>
          <w:rFonts w:asciiTheme="minorHAnsi" w:hAnsiTheme="minorHAnsi"/>
          <w:b/>
          <w:u w:val="single"/>
          <w:lang w:val="fr-FR"/>
        </w:rPr>
      </w:pPr>
    </w:p>
    <w:p w:rsidR="0032775B" w:rsidRPr="009C0F1C" w:rsidRDefault="00F86D3F" w:rsidP="00EF0E0C">
      <w:pPr>
        <w:autoSpaceDE w:val="0"/>
        <w:autoSpaceDN w:val="0"/>
        <w:adjustRightInd w:val="0"/>
        <w:contextualSpacing/>
        <w:rPr>
          <w:rFonts w:asciiTheme="minorHAnsi" w:eastAsiaTheme="minorHAnsi" w:hAnsiTheme="minorHAnsi" w:cs="AkzidenzGroteskBE-Light"/>
          <w:lang w:val="fr-FR" w:eastAsia="en-US"/>
        </w:rPr>
      </w:pPr>
      <w:r w:rsidRPr="009C0F1C">
        <w:rPr>
          <w:rFonts w:ascii="Calibri" w:hAnsi="Calibri" w:cs="AkzidenzGroteskBE-Light"/>
          <w:lang w:val="fr-FR"/>
        </w:rPr>
        <w:t xml:space="preserve">Bien que les mécanismes de référencement inter-agences soient essentiels, dans la plupart des situations, il est utile d'avoir des 'accords de service' ou des 'contrats de service' entre des agences particulières opérant dans un contexte. </w:t>
      </w:r>
    </w:p>
    <w:p w:rsidR="0032775B" w:rsidRPr="009C0F1C" w:rsidRDefault="0032775B" w:rsidP="00EF0E0C">
      <w:pPr>
        <w:autoSpaceDE w:val="0"/>
        <w:autoSpaceDN w:val="0"/>
        <w:adjustRightInd w:val="0"/>
        <w:contextualSpacing/>
        <w:rPr>
          <w:rFonts w:asciiTheme="minorHAnsi" w:eastAsiaTheme="minorHAnsi" w:hAnsiTheme="minorHAnsi" w:cs="AkzidenzGroteskBE-Light"/>
          <w:lang w:val="fr-FR" w:eastAsia="en-US"/>
        </w:rPr>
      </w:pPr>
    </w:p>
    <w:p w:rsidR="0032775B" w:rsidRPr="009C0F1C" w:rsidRDefault="0032775B" w:rsidP="00EF0E0C">
      <w:pPr>
        <w:autoSpaceDE w:val="0"/>
        <w:autoSpaceDN w:val="0"/>
        <w:adjustRightInd w:val="0"/>
        <w:contextualSpacing/>
        <w:rPr>
          <w:rFonts w:asciiTheme="minorHAnsi" w:eastAsiaTheme="minorHAnsi" w:hAnsiTheme="minorHAnsi" w:cs="AkzidenzGroteskBE-Light"/>
          <w:lang w:val="fr-FR" w:eastAsia="en-US"/>
        </w:rPr>
      </w:pPr>
    </w:p>
    <w:p w:rsidR="0032775B" w:rsidRPr="005C44E0" w:rsidRDefault="00F86D3F">
      <w:pPr>
        <w:autoSpaceDE w:val="0"/>
        <w:autoSpaceDN w:val="0"/>
        <w:adjustRightInd w:val="0"/>
        <w:contextualSpacing/>
        <w:rPr>
          <w:rFonts w:asciiTheme="minorHAnsi" w:eastAsiaTheme="minorHAnsi" w:hAnsiTheme="minorHAnsi" w:cs="AkzidenzGroteskBE-Light"/>
          <w:lang w:val="en-GB" w:eastAsia="en-US"/>
        </w:rPr>
      </w:pPr>
      <w:r w:rsidRPr="009C0F1C">
        <w:rPr>
          <w:rFonts w:ascii="Calibri" w:hAnsi="Calibri" w:cs="AkzidenzGroteskBE-Light"/>
          <w:lang w:val="fr-FR"/>
        </w:rPr>
        <w:t xml:space="preserve">Ces accords / contrats </w:t>
      </w:r>
      <w:r w:rsidRPr="009C0F1C">
        <w:rPr>
          <w:rFonts w:ascii="Calibri" w:hAnsi="Calibri" w:cs="AkzidenzGroteskBE-Light"/>
          <w:b/>
          <w:lang w:val="fr-FR"/>
        </w:rPr>
        <w:t xml:space="preserve">clarifient les responsabilités directes parmi les fournisseurs de services dans un contexte particulier. </w:t>
      </w:r>
      <w:proofErr w:type="spellStart"/>
      <w:r w:rsidR="0032775B">
        <w:rPr>
          <w:rFonts w:ascii="Calibri" w:hAnsi="Calibri" w:cs="AkzidenzGroteskBE-Light"/>
        </w:rPr>
        <w:t>Ils</w:t>
      </w:r>
      <w:proofErr w:type="spellEnd"/>
      <w:r w:rsidR="0032775B">
        <w:rPr>
          <w:rFonts w:ascii="Calibri" w:hAnsi="Calibri" w:cs="AkzidenzGroteskBE-Light"/>
        </w:rPr>
        <w:t xml:space="preserve"> </w:t>
      </w:r>
      <w:proofErr w:type="spellStart"/>
      <w:r w:rsidR="0032775B">
        <w:rPr>
          <w:rFonts w:ascii="Calibri" w:hAnsi="Calibri" w:cs="AkzidenzGroteskBE-Light"/>
        </w:rPr>
        <w:t>peuvent</w:t>
      </w:r>
      <w:proofErr w:type="spellEnd"/>
      <w:r w:rsidR="0032775B">
        <w:rPr>
          <w:rFonts w:ascii="Calibri" w:hAnsi="Calibri" w:cs="AkzidenzGroteskBE-Light"/>
        </w:rPr>
        <w:t xml:space="preserve"> aider à faciliter :</w:t>
      </w:r>
    </w:p>
    <w:p w:rsidR="0032775B" w:rsidRPr="005C44E0" w:rsidRDefault="0032775B">
      <w:pPr>
        <w:pStyle w:val="Paragraphedeliste"/>
        <w:numPr>
          <w:ilvl w:val="0"/>
          <w:numId w:val="5"/>
        </w:numPr>
        <w:autoSpaceDE w:val="0"/>
        <w:autoSpaceDN w:val="0"/>
        <w:adjustRightInd w:val="0"/>
        <w:rPr>
          <w:rFonts w:asciiTheme="minorHAnsi" w:eastAsiaTheme="minorHAnsi" w:hAnsiTheme="minorHAnsi" w:cs="AkzidenzGroteskBE-Light"/>
          <w:lang w:val="en-GB" w:eastAsia="en-US"/>
        </w:rPr>
      </w:pPr>
      <w:r>
        <w:rPr>
          <w:rFonts w:ascii="Calibri" w:hAnsi="Calibri" w:cs="AkzidenzGroteskBE-Light"/>
          <w:b/>
        </w:rPr>
        <w:t>La coordination</w:t>
      </w:r>
      <w:r>
        <w:rPr>
          <w:rFonts w:ascii="Calibri" w:hAnsi="Calibri" w:cs="AkzidenzGroteskBE-Light"/>
        </w:rPr>
        <w:t xml:space="preserve"> et </w:t>
      </w:r>
    </w:p>
    <w:p w:rsidR="0032775B" w:rsidRPr="005C44E0" w:rsidRDefault="0032775B">
      <w:pPr>
        <w:pStyle w:val="Paragraphedeliste"/>
        <w:numPr>
          <w:ilvl w:val="0"/>
          <w:numId w:val="5"/>
        </w:numPr>
        <w:autoSpaceDE w:val="0"/>
        <w:autoSpaceDN w:val="0"/>
        <w:adjustRightInd w:val="0"/>
        <w:rPr>
          <w:rFonts w:asciiTheme="minorHAnsi" w:eastAsiaTheme="minorHAnsi" w:hAnsiTheme="minorHAnsi" w:cs="AkzidenzGroteskBE-Light"/>
          <w:lang w:val="en-GB" w:eastAsia="en-US"/>
        </w:rPr>
      </w:pPr>
      <w:r>
        <w:rPr>
          <w:rFonts w:ascii="Calibri" w:hAnsi="Calibri" w:cs="AkzidenzGroteskBE-Light"/>
        </w:rPr>
        <w:t xml:space="preserve">La </w:t>
      </w:r>
      <w:r>
        <w:rPr>
          <w:rFonts w:ascii="Calibri" w:hAnsi="Calibri" w:cs="AkzidenzGroteskBE-Light"/>
          <w:b/>
        </w:rPr>
        <w:t xml:space="preserve">collaboration </w:t>
      </w:r>
      <w:r w:rsidR="00F86D3F" w:rsidRPr="00110007">
        <w:rPr>
          <w:rFonts w:ascii="Calibri" w:hAnsi="Calibri" w:cs="AkzidenzGroteskBE-Light"/>
          <w:b/>
        </w:rPr>
        <w:t>productive</w:t>
      </w:r>
      <w:r>
        <w:rPr>
          <w:rFonts w:ascii="Calibri" w:hAnsi="Calibri" w:cs="AkzidenzGroteskBE-Light"/>
        </w:rPr>
        <w:t xml:space="preserve"> </w:t>
      </w:r>
    </w:p>
    <w:p w:rsidR="0032775B" w:rsidRPr="00EF0E0C" w:rsidRDefault="0032775B" w:rsidP="005C44E0">
      <w:pPr>
        <w:autoSpaceDE w:val="0"/>
        <w:autoSpaceDN w:val="0"/>
        <w:adjustRightInd w:val="0"/>
        <w:contextualSpacing/>
        <w:rPr>
          <w:rFonts w:asciiTheme="minorHAnsi" w:eastAsiaTheme="minorHAnsi" w:hAnsiTheme="minorHAnsi" w:cs="AkzidenzGroteskBE-Light"/>
          <w:lang w:val="en-GB" w:eastAsia="en-US"/>
        </w:rPr>
      </w:pPr>
    </w:p>
    <w:p w:rsidR="0032775B" w:rsidRPr="00EF0E0C" w:rsidRDefault="0032775B" w:rsidP="005C44E0">
      <w:pPr>
        <w:autoSpaceDE w:val="0"/>
        <w:autoSpaceDN w:val="0"/>
        <w:adjustRightInd w:val="0"/>
        <w:contextualSpacing/>
        <w:rPr>
          <w:rFonts w:asciiTheme="minorHAnsi" w:eastAsiaTheme="minorHAnsi" w:hAnsiTheme="minorHAnsi" w:cs="AkzidenzGroteskBE-Light"/>
          <w:lang w:val="en-GB" w:eastAsia="en-US"/>
        </w:rPr>
      </w:pPr>
    </w:p>
    <w:p w:rsidR="00671CD2" w:rsidRPr="009C0F1C" w:rsidRDefault="00F86D3F" w:rsidP="005C44E0">
      <w:pPr>
        <w:autoSpaceDE w:val="0"/>
        <w:autoSpaceDN w:val="0"/>
        <w:adjustRightInd w:val="0"/>
        <w:contextualSpacing/>
        <w:rPr>
          <w:rFonts w:asciiTheme="minorHAnsi" w:eastAsiaTheme="minorHAnsi" w:hAnsiTheme="minorHAnsi" w:cs="AkzidenzGroteskBE-Light"/>
          <w:u w:val="single"/>
          <w:lang w:val="fr-FR" w:eastAsia="en-US"/>
        </w:rPr>
      </w:pPr>
      <w:r w:rsidRPr="009C0F1C">
        <w:rPr>
          <w:rFonts w:ascii="Calibri" w:hAnsi="Calibri" w:cs="AkzidenzGroteskBE-Light"/>
          <w:u w:val="single"/>
          <w:lang w:val="fr-FR"/>
        </w:rPr>
        <w:t>Les accords de service / contrats peuvent être utilisés :</w:t>
      </w:r>
    </w:p>
    <w:p w:rsidR="0032775B" w:rsidRPr="009C0F1C" w:rsidRDefault="0032775B" w:rsidP="005C44E0">
      <w:pPr>
        <w:autoSpaceDE w:val="0"/>
        <w:autoSpaceDN w:val="0"/>
        <w:adjustRightInd w:val="0"/>
        <w:contextualSpacing/>
        <w:rPr>
          <w:rFonts w:asciiTheme="minorHAnsi" w:eastAsiaTheme="minorHAnsi" w:hAnsiTheme="minorHAnsi" w:cs="AkzidenzGroteskBE-Light"/>
          <w:lang w:val="fr-FR" w:eastAsia="en-US"/>
        </w:rPr>
      </w:pPr>
    </w:p>
    <w:p w:rsidR="0032775B" w:rsidRPr="009C0F1C" w:rsidRDefault="0032775B" w:rsidP="005C44E0">
      <w:pPr>
        <w:autoSpaceDE w:val="0"/>
        <w:autoSpaceDN w:val="0"/>
        <w:adjustRightInd w:val="0"/>
        <w:contextualSpacing/>
        <w:rPr>
          <w:rFonts w:asciiTheme="minorHAnsi" w:eastAsiaTheme="minorHAnsi" w:hAnsiTheme="minorHAnsi" w:cs="AkzidenzGroteskBE-Light"/>
          <w:lang w:val="fr-FR" w:eastAsia="en-US"/>
        </w:rPr>
      </w:pPr>
    </w:p>
    <w:p w:rsidR="00671CD2" w:rsidRPr="009C0F1C" w:rsidRDefault="00F86D3F" w:rsidP="00EF0E0C">
      <w:pPr>
        <w:pStyle w:val="Paragraphedeliste"/>
        <w:numPr>
          <w:ilvl w:val="0"/>
          <w:numId w:val="6"/>
        </w:numPr>
        <w:autoSpaceDE w:val="0"/>
        <w:autoSpaceDN w:val="0"/>
        <w:adjustRightInd w:val="0"/>
        <w:rPr>
          <w:rFonts w:asciiTheme="minorHAnsi" w:eastAsiaTheme="minorHAnsi" w:hAnsiTheme="minorHAnsi" w:cs="AkzidenzGroteskBE-Light"/>
          <w:lang w:val="fr-FR" w:eastAsia="en-US"/>
        </w:rPr>
      </w:pPr>
      <w:r w:rsidRPr="009C0F1C">
        <w:rPr>
          <w:rFonts w:ascii="Calibri" w:hAnsi="Calibri" w:cs="AkzidenzGroteskBE-Light"/>
          <w:b/>
          <w:lang w:val="fr-FR"/>
        </w:rPr>
        <w:t>Entre les agences travaillant dans le même secteur ou similaire</w:t>
      </w:r>
      <w:r w:rsidRPr="009C0F1C">
        <w:rPr>
          <w:rFonts w:ascii="Calibri" w:hAnsi="Calibri" w:cs="AkzidenzGroteskBE-Light"/>
          <w:lang w:val="fr-FR"/>
        </w:rPr>
        <w:t xml:space="preserve"> (par ex. lorsqu'une agence travaille sur la GBV et une autre travaille sur les CP dans la même zone);</w:t>
      </w:r>
    </w:p>
    <w:p w:rsidR="0032775B" w:rsidRPr="009C0F1C" w:rsidRDefault="0032775B" w:rsidP="005C44E0">
      <w:pPr>
        <w:autoSpaceDE w:val="0"/>
        <w:autoSpaceDN w:val="0"/>
        <w:adjustRightInd w:val="0"/>
        <w:contextualSpacing/>
        <w:rPr>
          <w:rFonts w:asciiTheme="minorHAnsi" w:eastAsiaTheme="minorHAnsi" w:hAnsiTheme="minorHAnsi" w:cs="AkzidenzGroteskBE-Light"/>
          <w:lang w:val="fr-FR" w:eastAsia="en-US"/>
        </w:rPr>
      </w:pPr>
    </w:p>
    <w:p w:rsidR="00B0385B" w:rsidRPr="009C0F1C" w:rsidRDefault="00F86D3F" w:rsidP="00EF0E0C">
      <w:pPr>
        <w:pStyle w:val="Paragraphedeliste"/>
        <w:numPr>
          <w:ilvl w:val="0"/>
          <w:numId w:val="6"/>
        </w:numPr>
        <w:autoSpaceDE w:val="0"/>
        <w:autoSpaceDN w:val="0"/>
        <w:adjustRightInd w:val="0"/>
        <w:rPr>
          <w:rFonts w:asciiTheme="minorHAnsi" w:eastAsiaTheme="minorHAnsi" w:hAnsiTheme="minorHAnsi" w:cs="AkzidenzGroteskBE-Light"/>
          <w:i/>
          <w:lang w:val="fr-FR" w:eastAsia="en-US"/>
        </w:rPr>
      </w:pPr>
      <w:r w:rsidRPr="009C0F1C">
        <w:rPr>
          <w:rFonts w:ascii="Calibri" w:hAnsi="Calibri" w:cs="AkzidenzGroteskBE-Light"/>
          <w:b/>
          <w:lang w:val="fr-FR"/>
        </w:rPr>
        <w:t>Entre une agence de gestion des dossiers et un fournisseur de services de référencement</w:t>
      </w:r>
      <w:bookmarkStart w:id="0" w:name="_GoBack"/>
      <w:bookmarkEnd w:id="0"/>
      <w:r w:rsidRPr="009C0F1C">
        <w:rPr>
          <w:rFonts w:ascii="Calibri" w:hAnsi="Calibri" w:cs="AkzidenzGroteskBE-Light"/>
          <w:lang w:val="fr-FR"/>
        </w:rPr>
        <w:t xml:space="preserve"> (par ex. lorsque les deux agences conviennent que les services seront fournis aux enfants et familles référencés par l'agence de gestion des dossiers dans une période de temps définie et sans exiger d'informations personnelles).  </w:t>
      </w:r>
    </w:p>
    <w:p w:rsidR="00B0385B" w:rsidRPr="009C0F1C" w:rsidRDefault="00B0385B" w:rsidP="00EF0E0C">
      <w:pPr>
        <w:pStyle w:val="Paragraphedeliste"/>
        <w:autoSpaceDE w:val="0"/>
        <w:autoSpaceDN w:val="0"/>
        <w:adjustRightInd w:val="0"/>
        <w:rPr>
          <w:rFonts w:asciiTheme="minorHAnsi" w:eastAsiaTheme="minorHAnsi" w:hAnsiTheme="minorHAnsi" w:cs="AkzidenzGroteskBE-Light"/>
          <w:i/>
          <w:lang w:val="fr-FR" w:eastAsia="en-US"/>
        </w:rPr>
      </w:pPr>
    </w:p>
    <w:p w:rsidR="00671CD2" w:rsidRPr="009C0F1C" w:rsidRDefault="00F86D3F" w:rsidP="00EF0E0C">
      <w:pPr>
        <w:pStyle w:val="Paragraphedeliste"/>
        <w:autoSpaceDE w:val="0"/>
        <w:autoSpaceDN w:val="0"/>
        <w:adjustRightInd w:val="0"/>
        <w:rPr>
          <w:rFonts w:asciiTheme="minorHAnsi" w:eastAsiaTheme="minorHAnsi" w:hAnsiTheme="minorHAnsi" w:cs="AkzidenzGroteskBE-Light"/>
          <w:i/>
          <w:lang w:val="fr-FR" w:eastAsia="en-US"/>
        </w:rPr>
      </w:pPr>
      <w:r w:rsidRPr="009C0F1C">
        <w:rPr>
          <w:rFonts w:ascii="Calibri" w:hAnsi="Calibri" w:cs="AkzidenzGroteskBE-Light"/>
          <w:i/>
          <w:lang w:val="fr-FR"/>
        </w:rPr>
        <w:t xml:space="preserve">Cela se réfère aux services pour lesquels le fournisseur de services de référencement ne connaît pas la situation des besoins de protection de l'enfant, à savoir un refuge, des articles non alimentaires et autres services similaires. Lorsque le fournisseur de services n'a pas besoin de connaître ces informations (par ex. pour les services de conseils), ces accords entrent dans la première catégorie. </w:t>
      </w:r>
    </w:p>
    <w:p w:rsidR="00671CD2" w:rsidRPr="009C0F1C" w:rsidRDefault="00671CD2" w:rsidP="00EF0E0C">
      <w:pPr>
        <w:autoSpaceDE w:val="0"/>
        <w:autoSpaceDN w:val="0"/>
        <w:adjustRightInd w:val="0"/>
        <w:contextualSpacing/>
        <w:rPr>
          <w:rFonts w:asciiTheme="minorHAnsi" w:eastAsiaTheme="minorHAnsi" w:hAnsiTheme="minorHAnsi" w:cs="AkzidenzGroteskBE-Light"/>
          <w:lang w:val="fr-FR" w:eastAsia="en-US"/>
        </w:rPr>
      </w:pPr>
    </w:p>
    <w:p w:rsidR="0032775B" w:rsidRPr="009C0F1C" w:rsidRDefault="0032775B" w:rsidP="00EF0E0C">
      <w:pPr>
        <w:autoSpaceDE w:val="0"/>
        <w:autoSpaceDN w:val="0"/>
        <w:adjustRightInd w:val="0"/>
        <w:contextualSpacing/>
        <w:rPr>
          <w:rFonts w:asciiTheme="minorHAnsi" w:eastAsiaTheme="minorHAnsi" w:hAnsiTheme="minorHAnsi" w:cs="AkzidenzGroteskBE-Light"/>
          <w:lang w:val="fr-FR" w:eastAsia="en-US"/>
        </w:rPr>
      </w:pPr>
    </w:p>
    <w:p w:rsidR="00671CD2" w:rsidRPr="009C0F1C" w:rsidRDefault="00F86D3F" w:rsidP="00EF0E0C">
      <w:pPr>
        <w:autoSpaceDE w:val="0"/>
        <w:autoSpaceDN w:val="0"/>
        <w:adjustRightInd w:val="0"/>
        <w:contextualSpacing/>
        <w:rPr>
          <w:rFonts w:asciiTheme="minorHAnsi" w:eastAsiaTheme="minorHAnsi" w:hAnsiTheme="minorHAnsi" w:cs="AkzidenzGroteskBE-Light"/>
          <w:u w:val="single"/>
          <w:lang w:val="fr-FR" w:eastAsia="en-US"/>
        </w:rPr>
      </w:pPr>
      <w:r w:rsidRPr="009C0F1C">
        <w:rPr>
          <w:rFonts w:ascii="Calibri" w:hAnsi="Calibri" w:cs="AkzidenzGroteskBE-Light"/>
          <w:u w:val="single"/>
          <w:lang w:val="fr-FR"/>
        </w:rPr>
        <w:t>Sans accords de service entre les agences de gestion des dossiers, les problèmes suivants peuvent survenir :</w:t>
      </w:r>
    </w:p>
    <w:p w:rsidR="00B0385B" w:rsidRPr="009C0F1C" w:rsidRDefault="00B0385B" w:rsidP="00EF0E0C">
      <w:pPr>
        <w:pStyle w:val="Paragraphedeliste"/>
        <w:autoSpaceDE w:val="0"/>
        <w:autoSpaceDN w:val="0"/>
        <w:adjustRightInd w:val="0"/>
        <w:ind w:left="360"/>
        <w:rPr>
          <w:rFonts w:asciiTheme="minorHAnsi" w:eastAsiaTheme="minorHAnsi" w:hAnsiTheme="minorHAnsi" w:cs="AkzidenzGroteskBE-Light"/>
          <w:lang w:val="fr-FR" w:eastAsia="en-US"/>
        </w:rPr>
      </w:pPr>
    </w:p>
    <w:p w:rsidR="00671CD2" w:rsidRPr="005C44E0" w:rsidRDefault="00671CD2" w:rsidP="00EF0E0C">
      <w:pPr>
        <w:pStyle w:val="Paragraphedeliste"/>
        <w:numPr>
          <w:ilvl w:val="0"/>
          <w:numId w:val="2"/>
        </w:numPr>
        <w:autoSpaceDE w:val="0"/>
        <w:autoSpaceDN w:val="0"/>
        <w:adjustRightInd w:val="0"/>
        <w:rPr>
          <w:rFonts w:asciiTheme="minorHAnsi" w:eastAsiaTheme="minorHAnsi" w:hAnsiTheme="minorHAnsi" w:cs="AkzidenzGroteskBE-Light"/>
          <w:lang w:val="en-GB" w:eastAsia="en-US"/>
        </w:rPr>
      </w:pPr>
      <w:r>
        <w:rPr>
          <w:rFonts w:ascii="Calibri" w:hAnsi="Calibri" w:cs="AkzidenzGroteskBE-Light"/>
        </w:rPr>
        <w:t xml:space="preserve">Services </w:t>
      </w:r>
      <w:proofErr w:type="spellStart"/>
      <w:r>
        <w:rPr>
          <w:rFonts w:ascii="Calibri" w:hAnsi="Calibri" w:cs="AkzidenzGroteskBE-Light"/>
        </w:rPr>
        <w:t>dupliqués</w:t>
      </w:r>
      <w:proofErr w:type="spellEnd"/>
    </w:p>
    <w:p w:rsidR="00671CD2" w:rsidRPr="005C44E0" w:rsidRDefault="00671CD2" w:rsidP="00EF0E0C">
      <w:pPr>
        <w:pStyle w:val="Paragraphedeliste"/>
        <w:numPr>
          <w:ilvl w:val="0"/>
          <w:numId w:val="2"/>
        </w:numPr>
        <w:autoSpaceDE w:val="0"/>
        <w:autoSpaceDN w:val="0"/>
        <w:adjustRightInd w:val="0"/>
        <w:rPr>
          <w:rFonts w:asciiTheme="minorHAnsi" w:eastAsiaTheme="minorHAnsi" w:hAnsiTheme="minorHAnsi" w:cs="AkzidenzGroteskBE-Light"/>
          <w:lang w:val="en-GB" w:eastAsia="en-US"/>
        </w:rPr>
      </w:pPr>
      <w:r>
        <w:rPr>
          <w:rFonts w:ascii="Calibri" w:hAnsi="Calibri" w:cs="AkzidenzGroteskBE-Light"/>
        </w:rPr>
        <w:t>Violations de confidentialité</w:t>
      </w:r>
    </w:p>
    <w:p w:rsidR="00671CD2" w:rsidRPr="005C44E0" w:rsidRDefault="00671CD2" w:rsidP="00EF0E0C">
      <w:pPr>
        <w:pStyle w:val="Paragraphedeliste"/>
        <w:numPr>
          <w:ilvl w:val="0"/>
          <w:numId w:val="2"/>
        </w:numPr>
        <w:autoSpaceDE w:val="0"/>
        <w:autoSpaceDN w:val="0"/>
        <w:adjustRightInd w:val="0"/>
        <w:rPr>
          <w:rFonts w:asciiTheme="minorHAnsi" w:eastAsiaTheme="minorHAnsi" w:hAnsiTheme="minorHAnsi" w:cs="AkzidenzGroteskBE-Light"/>
          <w:lang w:val="en-GB" w:eastAsia="en-US"/>
        </w:rPr>
      </w:pPr>
      <w:r>
        <w:rPr>
          <w:rFonts w:ascii="Calibri" w:hAnsi="Calibri" w:cs="AkzidenzGroteskBE-Light"/>
        </w:rPr>
        <w:t>Pratiques différentes du consentement éclairé</w:t>
      </w:r>
    </w:p>
    <w:p w:rsidR="00671CD2" w:rsidRPr="009C0F1C" w:rsidRDefault="00F86D3F">
      <w:pPr>
        <w:pStyle w:val="Paragraphedeliste"/>
        <w:numPr>
          <w:ilvl w:val="0"/>
          <w:numId w:val="2"/>
        </w:numPr>
        <w:autoSpaceDE w:val="0"/>
        <w:autoSpaceDN w:val="0"/>
        <w:adjustRightInd w:val="0"/>
        <w:rPr>
          <w:rFonts w:asciiTheme="minorHAnsi" w:eastAsiaTheme="minorHAnsi" w:hAnsiTheme="minorHAnsi" w:cs="AkzidenzGroteskBE-Light"/>
          <w:lang w:val="fr-FR" w:eastAsia="en-US"/>
        </w:rPr>
      </w:pPr>
      <w:r w:rsidRPr="009C0F1C">
        <w:rPr>
          <w:rFonts w:ascii="Calibri" w:hAnsi="Calibri" w:cs="AkzidenzGroteskBE-Light"/>
          <w:lang w:val="fr-FR"/>
        </w:rPr>
        <w:lastRenderedPageBreak/>
        <w:t>Communication d'informations contradictoires aux enfants et aux familles (concernant les déclarations obligatoires, les services communautaires, etc.)</w:t>
      </w:r>
    </w:p>
    <w:p w:rsidR="00671CD2" w:rsidRPr="009C0F1C" w:rsidRDefault="00F86D3F">
      <w:pPr>
        <w:pStyle w:val="Paragraphedeliste"/>
        <w:numPr>
          <w:ilvl w:val="0"/>
          <w:numId w:val="2"/>
        </w:numPr>
        <w:autoSpaceDE w:val="0"/>
        <w:autoSpaceDN w:val="0"/>
        <w:adjustRightInd w:val="0"/>
        <w:rPr>
          <w:rFonts w:asciiTheme="minorHAnsi" w:eastAsiaTheme="minorHAnsi" w:hAnsiTheme="minorHAnsi" w:cs="AkzidenzGroteskBE-Light"/>
          <w:lang w:val="fr-FR" w:eastAsia="en-US"/>
        </w:rPr>
      </w:pPr>
      <w:r w:rsidRPr="009C0F1C">
        <w:rPr>
          <w:rFonts w:ascii="Calibri" w:hAnsi="Calibri" w:cs="AkzidenzGroteskBE-Light"/>
          <w:lang w:val="fr-FR"/>
        </w:rPr>
        <w:t xml:space="preserve">Potentiellement nuire à l'enfant et frustrer les parents. </w:t>
      </w:r>
    </w:p>
    <w:p w:rsidR="00671CD2" w:rsidRPr="009C0F1C" w:rsidRDefault="00671CD2" w:rsidP="00EF0E0C">
      <w:pPr>
        <w:autoSpaceDE w:val="0"/>
        <w:autoSpaceDN w:val="0"/>
        <w:adjustRightInd w:val="0"/>
        <w:contextualSpacing/>
        <w:rPr>
          <w:rFonts w:asciiTheme="minorHAnsi" w:eastAsiaTheme="minorHAnsi" w:hAnsiTheme="minorHAnsi" w:cs="AkzidenzGroteskBE-Light"/>
          <w:lang w:val="fr-FR" w:eastAsia="en-US"/>
        </w:rPr>
      </w:pPr>
    </w:p>
    <w:p w:rsidR="00EF0E0C" w:rsidRPr="009C0F1C" w:rsidRDefault="00F86D3F" w:rsidP="005C44E0">
      <w:pPr>
        <w:autoSpaceDE w:val="0"/>
        <w:autoSpaceDN w:val="0"/>
        <w:adjustRightInd w:val="0"/>
        <w:contextualSpacing/>
        <w:rPr>
          <w:rFonts w:asciiTheme="minorHAnsi" w:eastAsiaTheme="minorHAnsi" w:hAnsiTheme="minorHAnsi" w:cs="AkzidenzGroteskBE-Light"/>
          <w:b/>
          <w:szCs w:val="28"/>
          <w:lang w:val="fr-FR" w:eastAsia="en-US"/>
        </w:rPr>
      </w:pPr>
      <w:r w:rsidRPr="009C0F1C">
        <w:rPr>
          <w:rFonts w:ascii="Calibri" w:hAnsi="Calibri" w:cs="AkzidenzGroteskBE-Light"/>
          <w:b/>
          <w:szCs w:val="28"/>
          <w:lang w:val="fr-FR"/>
        </w:rPr>
        <w:t>Les accords de service entre les agences GBV et de protection de l'enfant doivent souligner :</w:t>
      </w:r>
    </w:p>
    <w:p w:rsidR="00EF0E0C" w:rsidRPr="009C0F1C" w:rsidRDefault="00EF0E0C" w:rsidP="005C44E0">
      <w:pPr>
        <w:autoSpaceDE w:val="0"/>
        <w:autoSpaceDN w:val="0"/>
        <w:adjustRightInd w:val="0"/>
        <w:contextualSpacing/>
        <w:rPr>
          <w:rFonts w:asciiTheme="minorHAnsi" w:eastAsiaTheme="minorHAnsi" w:hAnsiTheme="minorHAnsi" w:cs="AkzidenzGroteskBE-Light"/>
          <w:szCs w:val="28"/>
          <w:lang w:val="fr-FR" w:eastAsia="en-US"/>
        </w:rPr>
      </w:pPr>
    </w:p>
    <w:p w:rsidR="00EF0E0C" w:rsidRPr="009C0F1C" w:rsidRDefault="00F86D3F" w:rsidP="00EF0E0C">
      <w:pPr>
        <w:pStyle w:val="Paragraphedeliste"/>
        <w:numPr>
          <w:ilvl w:val="0"/>
          <w:numId w:val="7"/>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Les normes minimales de compétences du personnel et de formation préalable avant de travailler au côté d'enfants survivants.</w:t>
      </w:r>
    </w:p>
    <w:p w:rsidR="00EF0E0C" w:rsidRPr="009C0F1C" w:rsidRDefault="00F86D3F" w:rsidP="00EF0E0C">
      <w:pPr>
        <w:pStyle w:val="Paragraphedeliste"/>
        <w:numPr>
          <w:ilvl w:val="0"/>
          <w:numId w:val="7"/>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Les principes directeurs pour  travailler au côté d'enfants survivants.</w:t>
      </w:r>
    </w:p>
    <w:p w:rsidR="00EF0E0C" w:rsidRPr="009C0F1C" w:rsidRDefault="00F86D3F" w:rsidP="00EF0E0C">
      <w:pPr>
        <w:pStyle w:val="Paragraphedeliste"/>
        <w:numPr>
          <w:ilvl w:val="0"/>
          <w:numId w:val="7"/>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Leurs rôles respectifs dans la gestion des dossiers d'abus sexuels. Cela inclut la description des circonstances qui dictent : quand les rapports/déclarations obligatoires doivent être effectués; quand les évaluations/interviews jointes doivent être initiées; et quand et avec qui les rapports/évaluations des dossiers rédigés doivent être partagés (toujours avec le consentement de l'enfant victime et/ou de la personne en charge de l'enfant).</w:t>
      </w:r>
    </w:p>
    <w:p w:rsidR="00EF0E0C" w:rsidRPr="009C0F1C" w:rsidRDefault="00F86D3F" w:rsidP="00EF0E0C">
      <w:pPr>
        <w:pStyle w:val="Paragraphedeliste"/>
        <w:numPr>
          <w:ilvl w:val="0"/>
          <w:numId w:val="7"/>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 xml:space="preserve">Si possible, une agence (secteur) doit être désignée comme </w:t>
      </w:r>
      <w:r w:rsidRPr="009C0F1C">
        <w:rPr>
          <w:rFonts w:ascii="Calibri" w:hAnsi="Calibri" w:cs="AkzidenzGroteskBE-Md"/>
          <w:szCs w:val="28"/>
          <w:lang w:val="fr-FR"/>
        </w:rPr>
        <w:t xml:space="preserve">l'agence principale de gestion des dossiers </w:t>
      </w:r>
      <w:r w:rsidRPr="009C0F1C">
        <w:rPr>
          <w:rFonts w:ascii="Calibri" w:hAnsi="Calibri" w:cs="AkzidenzGroteskBE-Light"/>
          <w:szCs w:val="28"/>
          <w:lang w:val="fr-FR"/>
        </w:rPr>
        <w:t xml:space="preserve">prenant en charge les abus sexuels des enfants. Une agence principale de gestion des dossiers relatifs aux abus sexuels clarifie les responsabilités spécifiques pour les actions clés qui sont prises en tant que mesure d'intervention.  </w:t>
      </w:r>
    </w:p>
    <w:p w:rsidR="00EF0E0C" w:rsidRPr="009C0F1C" w:rsidRDefault="00EF0E0C" w:rsidP="00EF0E0C">
      <w:pPr>
        <w:pStyle w:val="Paragraphedeliste"/>
        <w:autoSpaceDE w:val="0"/>
        <w:autoSpaceDN w:val="0"/>
        <w:adjustRightInd w:val="0"/>
        <w:ind w:left="360"/>
        <w:rPr>
          <w:rFonts w:asciiTheme="minorHAnsi" w:eastAsiaTheme="minorHAnsi" w:hAnsiTheme="minorHAnsi" w:cs="AkzidenzGroteskBE-Light"/>
          <w:szCs w:val="28"/>
          <w:lang w:val="fr-FR" w:eastAsia="en-US"/>
        </w:rPr>
      </w:pPr>
    </w:p>
    <w:p w:rsidR="00EF0E0C" w:rsidRPr="005C44E0" w:rsidRDefault="00EF0E0C" w:rsidP="005C44E0">
      <w:pPr>
        <w:autoSpaceDE w:val="0"/>
        <w:autoSpaceDN w:val="0"/>
        <w:adjustRightInd w:val="0"/>
        <w:contextualSpacing/>
        <w:rPr>
          <w:rFonts w:asciiTheme="minorHAnsi" w:eastAsiaTheme="minorHAnsi" w:hAnsiTheme="minorHAnsi" w:cs="AkzidenzGroteskBE-Light"/>
          <w:szCs w:val="28"/>
          <w:lang w:val="en-GB" w:eastAsia="en-US"/>
        </w:rPr>
      </w:pPr>
      <w:r>
        <w:rPr>
          <w:rFonts w:ascii="Calibri" w:hAnsi="Calibri" w:cs="AkzidenzGroteskBE-Light"/>
          <w:szCs w:val="28"/>
        </w:rPr>
        <w:t xml:space="preserve">Par </w:t>
      </w:r>
      <w:proofErr w:type="spellStart"/>
      <w:proofErr w:type="gramStart"/>
      <w:r>
        <w:rPr>
          <w:rFonts w:ascii="Calibri" w:hAnsi="Calibri" w:cs="AkzidenzGroteskBE-Light"/>
          <w:szCs w:val="28"/>
        </w:rPr>
        <w:t>exemple</w:t>
      </w:r>
      <w:proofErr w:type="spellEnd"/>
      <w:r>
        <w:rPr>
          <w:rFonts w:ascii="Calibri" w:hAnsi="Calibri" w:cs="AkzidenzGroteskBE-Light"/>
          <w:szCs w:val="28"/>
        </w:rPr>
        <w:t xml:space="preserve"> :</w:t>
      </w:r>
      <w:proofErr w:type="gramEnd"/>
    </w:p>
    <w:p w:rsidR="00EF0E0C" w:rsidRPr="009C0F1C" w:rsidRDefault="00F86D3F" w:rsidP="00EF0E0C">
      <w:pPr>
        <w:pStyle w:val="Paragraphedeliste"/>
        <w:numPr>
          <w:ilvl w:val="1"/>
          <w:numId w:val="7"/>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La personne à laquelle l'enfant/famille est d'abord référencé pour des services complets de gestion des dossiers;</w:t>
      </w:r>
    </w:p>
    <w:p w:rsidR="00EF0E0C" w:rsidRPr="009C0F1C" w:rsidRDefault="00F86D3F" w:rsidP="00EF0E0C">
      <w:pPr>
        <w:pStyle w:val="Paragraphedeliste"/>
        <w:numPr>
          <w:ilvl w:val="1"/>
          <w:numId w:val="7"/>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Quelle agence sera responsable de la conduite des entrevues initiales et des évaluations des besoins, qui guideront les mesures futures liées au cas;</w:t>
      </w:r>
    </w:p>
    <w:p w:rsidR="00EF0E0C" w:rsidRPr="009C0F1C" w:rsidRDefault="00F86D3F" w:rsidP="00EF0E0C">
      <w:pPr>
        <w:pStyle w:val="Paragraphedeliste"/>
        <w:numPr>
          <w:ilvl w:val="1"/>
          <w:numId w:val="7"/>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Quelle agence sera responsable de l'établissement des rapports d'abus sexuels aux autorités pertinentes (si besoin est); et</w:t>
      </w:r>
    </w:p>
    <w:p w:rsidR="00EF0E0C" w:rsidRPr="009C0F1C" w:rsidRDefault="00F86D3F" w:rsidP="00EF0E0C">
      <w:pPr>
        <w:pStyle w:val="Paragraphedeliste"/>
        <w:numPr>
          <w:ilvl w:val="1"/>
          <w:numId w:val="7"/>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 xml:space="preserve">Quelle agence aura la responsabilité de "diriger et superviser" le dossier en fonction des besoins de l'enfant </w:t>
      </w:r>
      <w:proofErr w:type="spellStart"/>
      <w:r w:rsidRPr="009C0F1C">
        <w:rPr>
          <w:rFonts w:ascii="Calibri" w:hAnsi="Calibri" w:cs="AkzidenzGroteskBE-Light"/>
          <w:szCs w:val="28"/>
          <w:lang w:val="fr-FR"/>
        </w:rPr>
        <w:t>vicitime</w:t>
      </w:r>
      <w:proofErr w:type="spellEnd"/>
      <w:r w:rsidRPr="009C0F1C">
        <w:rPr>
          <w:rFonts w:ascii="Calibri" w:hAnsi="Calibri" w:cs="AkzidenzGroteskBE-Light"/>
          <w:szCs w:val="28"/>
          <w:lang w:val="fr-FR"/>
        </w:rPr>
        <w:t xml:space="preserve"> et son système de soutien.</w:t>
      </w:r>
    </w:p>
    <w:p w:rsidR="00B0385B" w:rsidRPr="009C0F1C" w:rsidRDefault="00B0385B" w:rsidP="00EF0E0C">
      <w:pPr>
        <w:autoSpaceDE w:val="0"/>
        <w:autoSpaceDN w:val="0"/>
        <w:adjustRightInd w:val="0"/>
        <w:contextualSpacing/>
        <w:rPr>
          <w:rFonts w:asciiTheme="minorHAnsi" w:eastAsiaTheme="minorHAnsi" w:hAnsiTheme="minorHAnsi" w:cs="AkzidenzGroteskBE-Light"/>
          <w:lang w:val="fr-FR" w:eastAsia="en-US"/>
        </w:rPr>
      </w:pPr>
    </w:p>
    <w:p w:rsidR="00EF0E0C" w:rsidRPr="009C0F1C" w:rsidRDefault="00EF0E0C" w:rsidP="00EF0E0C">
      <w:pPr>
        <w:autoSpaceDE w:val="0"/>
        <w:autoSpaceDN w:val="0"/>
        <w:adjustRightInd w:val="0"/>
        <w:contextualSpacing/>
        <w:rPr>
          <w:rFonts w:asciiTheme="minorHAnsi" w:eastAsiaTheme="minorHAnsi" w:hAnsiTheme="minorHAnsi" w:cs="AkzidenzGroteskBE-Light"/>
          <w:lang w:val="fr-FR" w:eastAsia="en-US"/>
        </w:rPr>
      </w:pPr>
    </w:p>
    <w:p w:rsidR="00671CD2" w:rsidRPr="009C0F1C" w:rsidRDefault="00F86D3F" w:rsidP="00EF0E0C">
      <w:pPr>
        <w:autoSpaceDE w:val="0"/>
        <w:autoSpaceDN w:val="0"/>
        <w:adjustRightInd w:val="0"/>
        <w:contextualSpacing/>
        <w:rPr>
          <w:rFonts w:asciiTheme="minorHAnsi" w:eastAsiaTheme="minorHAnsi" w:hAnsiTheme="minorHAnsi" w:cs="AkzidenzGroteskBE-Light"/>
          <w:u w:val="single"/>
          <w:lang w:val="fr-FR" w:eastAsia="en-US"/>
        </w:rPr>
      </w:pPr>
      <w:r w:rsidRPr="009C0F1C">
        <w:rPr>
          <w:rFonts w:ascii="Calibri" w:hAnsi="Calibri" w:cs="AkzidenzGroteskBE-Light"/>
          <w:u w:val="single"/>
          <w:lang w:val="fr-FR"/>
        </w:rPr>
        <w:t xml:space="preserve">Sans accords de service entre les agences de gestion des dossiers et les fournisseurs de services de référencement, les problèmes suivants peuvent survenir : </w:t>
      </w:r>
    </w:p>
    <w:p w:rsidR="00671CD2" w:rsidRPr="009C0F1C" w:rsidRDefault="00F86D3F" w:rsidP="00EF0E0C">
      <w:pPr>
        <w:pStyle w:val="Paragraphedeliste"/>
        <w:numPr>
          <w:ilvl w:val="0"/>
          <w:numId w:val="3"/>
        </w:numPr>
        <w:autoSpaceDE w:val="0"/>
        <w:autoSpaceDN w:val="0"/>
        <w:adjustRightInd w:val="0"/>
        <w:rPr>
          <w:rFonts w:asciiTheme="minorHAnsi" w:eastAsiaTheme="minorHAnsi" w:hAnsiTheme="minorHAnsi" w:cs="AkzidenzGroteskBE-Light"/>
          <w:lang w:val="fr-FR" w:eastAsia="en-US"/>
        </w:rPr>
      </w:pPr>
      <w:r w:rsidRPr="009C0F1C">
        <w:rPr>
          <w:rFonts w:ascii="Calibri" w:hAnsi="Calibri" w:cs="AkzidenzGroteskBE-Light"/>
          <w:lang w:val="fr-FR"/>
        </w:rPr>
        <w:t xml:space="preserve">Violations de confidentialité : les agences de gestion des dossiers auxquelles il est demandé de partager plus d'informations que les fournisseurs de services de référencement 'ont besoin de savoir' </w:t>
      </w:r>
    </w:p>
    <w:p w:rsidR="00671CD2" w:rsidRPr="009C0F1C" w:rsidRDefault="00F86D3F" w:rsidP="00EF0E0C">
      <w:pPr>
        <w:pStyle w:val="Paragraphedeliste"/>
        <w:numPr>
          <w:ilvl w:val="0"/>
          <w:numId w:val="3"/>
        </w:numPr>
        <w:autoSpaceDE w:val="0"/>
        <w:autoSpaceDN w:val="0"/>
        <w:adjustRightInd w:val="0"/>
        <w:rPr>
          <w:rFonts w:asciiTheme="minorHAnsi" w:eastAsiaTheme="minorHAnsi" w:hAnsiTheme="minorHAnsi" w:cs="AkzidenzGroteskBE-Light"/>
          <w:lang w:val="fr-FR" w:eastAsia="en-US"/>
        </w:rPr>
      </w:pPr>
      <w:r w:rsidRPr="009C0F1C">
        <w:rPr>
          <w:rFonts w:ascii="Calibri" w:hAnsi="Calibri" w:cs="AkzidenzGroteskBE-Light"/>
          <w:lang w:val="fr-FR"/>
        </w:rPr>
        <w:t>Retards ou manque de fourniture de services : par ex. à cause de la nécessité de négocier à chaque fois les conditions de la fourniture de services ou parce que les agences manquent l'opportunité d'accéder à des services pour les clients</w:t>
      </w:r>
    </w:p>
    <w:p w:rsidR="00671CD2" w:rsidRPr="009C0F1C" w:rsidRDefault="00F86D3F" w:rsidP="00EF0E0C">
      <w:pPr>
        <w:pStyle w:val="Paragraphedeliste"/>
        <w:numPr>
          <w:ilvl w:val="0"/>
          <w:numId w:val="3"/>
        </w:numPr>
        <w:autoSpaceDE w:val="0"/>
        <w:autoSpaceDN w:val="0"/>
        <w:adjustRightInd w:val="0"/>
        <w:rPr>
          <w:rFonts w:asciiTheme="minorHAnsi" w:eastAsiaTheme="minorHAnsi" w:hAnsiTheme="minorHAnsi" w:cs="AkzidenzGroteskBE-Light"/>
          <w:lang w:val="fr-FR" w:eastAsia="en-US"/>
        </w:rPr>
      </w:pPr>
      <w:r w:rsidRPr="009C0F1C">
        <w:rPr>
          <w:rFonts w:ascii="Calibri" w:hAnsi="Calibri" w:cs="AkzidenzGroteskBE-Light"/>
          <w:lang w:val="fr-FR"/>
        </w:rPr>
        <w:t xml:space="preserve">Préjudice potentiel causé par : par ex. par des fournisseurs de service non formés qui demandent à vérifier la nature de la vulnérabilité de l'enfant et de sa famille </w:t>
      </w:r>
    </w:p>
    <w:p w:rsidR="00671CD2" w:rsidRPr="009C0F1C" w:rsidRDefault="00671CD2" w:rsidP="00EF0E0C">
      <w:pPr>
        <w:autoSpaceDE w:val="0"/>
        <w:autoSpaceDN w:val="0"/>
        <w:adjustRightInd w:val="0"/>
        <w:contextualSpacing/>
        <w:rPr>
          <w:rFonts w:asciiTheme="minorHAnsi" w:eastAsiaTheme="minorHAnsi" w:hAnsiTheme="minorHAnsi" w:cs="AkzidenzGroteskBE-Light"/>
          <w:lang w:val="fr-FR" w:eastAsia="en-US"/>
        </w:rPr>
      </w:pPr>
    </w:p>
    <w:p w:rsidR="00B0385B" w:rsidRPr="009C0F1C" w:rsidRDefault="00B0385B" w:rsidP="005C44E0">
      <w:pPr>
        <w:autoSpaceDE w:val="0"/>
        <w:autoSpaceDN w:val="0"/>
        <w:adjustRightInd w:val="0"/>
        <w:contextualSpacing/>
        <w:rPr>
          <w:rFonts w:asciiTheme="minorHAnsi" w:eastAsiaTheme="minorHAnsi" w:hAnsiTheme="minorHAnsi" w:cs="AkzidenzGroteskBE-Light"/>
          <w:lang w:val="fr-FR" w:eastAsia="en-US"/>
        </w:rPr>
      </w:pPr>
    </w:p>
    <w:p w:rsidR="00671CD2" w:rsidRPr="009C0F1C" w:rsidRDefault="00F86D3F" w:rsidP="005C44E0">
      <w:pPr>
        <w:autoSpaceDE w:val="0"/>
        <w:autoSpaceDN w:val="0"/>
        <w:adjustRightInd w:val="0"/>
        <w:contextualSpacing/>
        <w:rPr>
          <w:rFonts w:asciiTheme="minorHAnsi" w:eastAsiaTheme="minorHAnsi" w:hAnsiTheme="minorHAnsi" w:cs="AkzidenzGroteskBE-Light"/>
          <w:lang w:val="fr-FR" w:eastAsia="en-US"/>
        </w:rPr>
      </w:pPr>
      <w:r w:rsidRPr="009C0F1C">
        <w:rPr>
          <w:rFonts w:ascii="Calibri" w:hAnsi="Calibri" w:cs="AkzidenzGroteskBE-Light"/>
          <w:lang w:val="fr-FR"/>
        </w:rPr>
        <w:t>Par conséquent, il est recommandé que des accords de coordination de niveau de service soient établis afin de maximiser les contributions positives des deux agences pour rétablir la sécurité et le bien-être.</w:t>
      </w:r>
    </w:p>
    <w:p w:rsidR="00671CD2" w:rsidRPr="009C0F1C" w:rsidRDefault="00671CD2" w:rsidP="00EF0E0C">
      <w:pPr>
        <w:contextualSpacing/>
        <w:rPr>
          <w:rFonts w:asciiTheme="minorHAnsi" w:eastAsiaTheme="minorHAnsi" w:hAnsiTheme="minorHAnsi" w:cs="AkzidenzGroteskBE-Light"/>
          <w:lang w:val="fr-FR" w:eastAsia="en-US"/>
        </w:rPr>
      </w:pPr>
    </w:p>
    <w:p w:rsidR="00EF0E0C" w:rsidRPr="009C0F1C" w:rsidRDefault="00F86D3F" w:rsidP="005C44E0">
      <w:pPr>
        <w:autoSpaceDE w:val="0"/>
        <w:autoSpaceDN w:val="0"/>
        <w:adjustRightInd w:val="0"/>
        <w:contextualSpacing/>
        <w:rPr>
          <w:rFonts w:asciiTheme="minorHAnsi" w:eastAsiaTheme="minorHAnsi" w:hAnsiTheme="minorHAnsi" w:cs="AkzidenzGroteskBE-Light"/>
          <w:b/>
          <w:szCs w:val="28"/>
          <w:lang w:val="fr-FR" w:eastAsia="en-US"/>
        </w:rPr>
      </w:pPr>
      <w:r w:rsidRPr="009C0F1C">
        <w:rPr>
          <w:rFonts w:ascii="Calibri" w:hAnsi="Calibri" w:cs="AkzidenzGroteskBE-Light"/>
          <w:b/>
          <w:szCs w:val="28"/>
          <w:lang w:val="fr-FR"/>
        </w:rPr>
        <w:t>Les accords de service entre les agences de gestion des dossiers et les fournisseurs de services de référencement doivent souligner :</w:t>
      </w:r>
    </w:p>
    <w:p w:rsidR="00EF0E0C" w:rsidRPr="009C0F1C" w:rsidRDefault="00EF0E0C" w:rsidP="005C44E0">
      <w:pPr>
        <w:autoSpaceDE w:val="0"/>
        <w:autoSpaceDN w:val="0"/>
        <w:adjustRightInd w:val="0"/>
        <w:contextualSpacing/>
        <w:rPr>
          <w:rFonts w:asciiTheme="minorHAnsi" w:eastAsiaTheme="minorHAnsi" w:hAnsiTheme="minorHAnsi" w:cs="AkzidenzGroteskBE-Light"/>
          <w:b/>
          <w:szCs w:val="28"/>
          <w:lang w:val="fr-FR" w:eastAsia="en-US"/>
        </w:rPr>
      </w:pPr>
    </w:p>
    <w:p w:rsidR="00EF0E0C" w:rsidRPr="009C0F1C" w:rsidRDefault="00F86D3F" w:rsidP="00EF0E0C">
      <w:pPr>
        <w:pStyle w:val="Paragraphedeliste"/>
        <w:numPr>
          <w:ilvl w:val="0"/>
          <w:numId w:val="8"/>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Quels services peuvent être fournis, dans quel délai et à quelles personnes</w:t>
      </w:r>
    </w:p>
    <w:p w:rsidR="00EF0E0C" w:rsidRPr="009C0F1C" w:rsidRDefault="00F86D3F" w:rsidP="00EF0E0C">
      <w:pPr>
        <w:pStyle w:val="Paragraphedeliste"/>
        <w:numPr>
          <w:ilvl w:val="0"/>
          <w:numId w:val="8"/>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 xml:space="preserve">Comment les services doivent être demandés et à quel moment </w:t>
      </w:r>
    </w:p>
    <w:p w:rsidR="00EF0E0C" w:rsidRPr="009C0F1C" w:rsidRDefault="00F86D3F" w:rsidP="00EF0E0C">
      <w:pPr>
        <w:pStyle w:val="Paragraphedeliste"/>
        <w:numPr>
          <w:ilvl w:val="0"/>
          <w:numId w:val="8"/>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Le fait que les informations relatives à la situation de l'enfant et de sa famille ne seront pas demandées par le fournisseur de services de référencement</w:t>
      </w:r>
    </w:p>
    <w:p w:rsidR="00EF0E0C" w:rsidRPr="009C0F1C" w:rsidRDefault="00F86D3F" w:rsidP="00EF0E0C">
      <w:pPr>
        <w:pStyle w:val="Paragraphedeliste"/>
        <w:numPr>
          <w:ilvl w:val="0"/>
          <w:numId w:val="8"/>
        </w:numPr>
        <w:autoSpaceDE w:val="0"/>
        <w:autoSpaceDN w:val="0"/>
        <w:adjustRightInd w:val="0"/>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 xml:space="preserve">Le fait que les référencements de l'agence de gestion des dossiers ne seront pas identifiables dans des listes étendues de référencement ou identifiés pour la communauté, ce qui constituerait une violation de confidentialité. </w:t>
      </w:r>
    </w:p>
    <w:p w:rsidR="00B0385B" w:rsidRPr="009C0F1C" w:rsidRDefault="00B0385B" w:rsidP="00EF0E0C">
      <w:pPr>
        <w:contextualSpacing/>
        <w:rPr>
          <w:rFonts w:asciiTheme="minorHAnsi" w:eastAsiaTheme="minorHAnsi" w:hAnsiTheme="minorHAnsi" w:cs="AkzidenzGroteskBE-Light"/>
          <w:lang w:val="fr-FR" w:eastAsia="en-US"/>
        </w:rPr>
      </w:pPr>
    </w:p>
    <w:p w:rsidR="00EF0E0C" w:rsidRPr="009C0F1C" w:rsidRDefault="00EF0E0C" w:rsidP="00EF0E0C">
      <w:pPr>
        <w:contextualSpacing/>
        <w:rPr>
          <w:rFonts w:asciiTheme="minorHAnsi" w:eastAsiaTheme="minorHAnsi" w:hAnsiTheme="minorHAnsi" w:cs="AkzidenzGroteskBE-Light"/>
          <w:lang w:val="fr-FR" w:eastAsia="en-US"/>
        </w:rPr>
      </w:pPr>
    </w:p>
    <w:p w:rsidR="00B0385B" w:rsidRPr="009C0F1C" w:rsidRDefault="00F86D3F" w:rsidP="00EF0E0C">
      <w:pPr>
        <w:contextualSpacing/>
        <w:rPr>
          <w:rFonts w:asciiTheme="minorHAnsi" w:eastAsiaTheme="minorHAnsi" w:hAnsiTheme="minorHAnsi" w:cs="AkzidenzGroteskBE-Light"/>
          <w:u w:val="single"/>
          <w:lang w:val="fr-FR" w:eastAsia="en-US"/>
        </w:rPr>
      </w:pPr>
      <w:r w:rsidRPr="009C0F1C">
        <w:rPr>
          <w:rFonts w:ascii="Calibri" w:hAnsi="Calibri" w:cs="AkzidenzGroteskBE-Light"/>
          <w:u w:val="single"/>
          <w:lang w:val="fr-FR"/>
        </w:rPr>
        <w:t xml:space="preserve">Supervision des accords de service / contrats </w:t>
      </w:r>
    </w:p>
    <w:p w:rsidR="00B0385B" w:rsidRPr="009C0F1C" w:rsidRDefault="00B0385B" w:rsidP="00EF0E0C">
      <w:pPr>
        <w:contextualSpacing/>
        <w:rPr>
          <w:rFonts w:asciiTheme="minorHAnsi" w:eastAsiaTheme="minorHAnsi" w:hAnsiTheme="minorHAnsi" w:cs="AkzidenzGroteskBE-Light"/>
          <w:u w:val="single"/>
          <w:lang w:val="fr-FR" w:eastAsia="en-US"/>
        </w:rPr>
      </w:pPr>
    </w:p>
    <w:p w:rsidR="00671CD2" w:rsidRPr="009C0F1C" w:rsidRDefault="00F86D3F" w:rsidP="00EF0E0C">
      <w:pPr>
        <w:contextualSpacing/>
        <w:rPr>
          <w:rFonts w:asciiTheme="minorHAnsi" w:hAnsiTheme="minorHAnsi" w:cs="Calibri"/>
          <w:lang w:val="fr-FR"/>
        </w:rPr>
      </w:pPr>
      <w:r w:rsidRPr="009C0F1C">
        <w:rPr>
          <w:rFonts w:ascii="Calibri" w:hAnsi="Calibri" w:cs="Calibri"/>
          <w:lang w:val="fr-FR"/>
        </w:rPr>
        <w:t>Si des contrats de service ou des accords sont établis entre votre agence et les divers fournisseurs de service, il est important de superviser ces accords pour s'assurer que les obligations contractuelles sont respectées et que les services sont délivrés de façon responsable et en temps opportun.</w:t>
      </w:r>
      <w:r w:rsidR="00EF0E0C" w:rsidRPr="00EF0E0C">
        <w:rPr>
          <w:rStyle w:val="Appelnotedebasdep"/>
          <w:rFonts w:asciiTheme="minorHAnsi" w:hAnsiTheme="minorHAnsi" w:cs="Calibri"/>
        </w:rPr>
        <w:footnoteReference w:id="2"/>
      </w:r>
    </w:p>
    <w:p w:rsidR="00EF0E0C" w:rsidRPr="009C0F1C" w:rsidRDefault="00EF0E0C" w:rsidP="005C44E0">
      <w:pPr>
        <w:autoSpaceDE w:val="0"/>
        <w:autoSpaceDN w:val="0"/>
        <w:adjustRightInd w:val="0"/>
        <w:contextualSpacing/>
        <w:rPr>
          <w:rFonts w:asciiTheme="minorHAnsi" w:eastAsiaTheme="minorHAnsi" w:hAnsiTheme="minorHAnsi" w:cs="AkzidenzGroteskBE-Light"/>
          <w:b/>
          <w:szCs w:val="28"/>
          <w:lang w:val="fr-FR" w:eastAsia="en-US"/>
        </w:rPr>
      </w:pPr>
    </w:p>
    <w:p w:rsidR="00EF0E0C" w:rsidRPr="009C0F1C" w:rsidRDefault="00F86D3F" w:rsidP="005C44E0">
      <w:pPr>
        <w:autoSpaceDE w:val="0"/>
        <w:autoSpaceDN w:val="0"/>
        <w:adjustRightInd w:val="0"/>
        <w:contextualSpacing/>
        <w:rPr>
          <w:rFonts w:asciiTheme="minorHAnsi" w:eastAsiaTheme="minorHAnsi" w:hAnsiTheme="minorHAnsi" w:cs="AkzidenzGroteskBE-Light"/>
          <w:szCs w:val="28"/>
          <w:lang w:val="fr-FR" w:eastAsia="en-US"/>
        </w:rPr>
      </w:pPr>
      <w:r w:rsidRPr="009C0F1C">
        <w:rPr>
          <w:rFonts w:ascii="Calibri" w:hAnsi="Calibri" w:cs="AkzidenzGroteskBE-Light"/>
          <w:szCs w:val="28"/>
          <w:lang w:val="fr-FR"/>
        </w:rPr>
        <w:t>Ces accords sont destinés à simplifier les services et la coordination pour les enfants et les familles, et éviter les inconvénients d'une protection non coordonnée. Dans les situations de crise humanitaire, où opèrent les fournisseurs de services GBV et de protection de l'enfant, les agences principales de coordination (GBV, protection de l'enfant et/ou santé), doivent prendre l'initiative de développer ces accords plus détaillés.</w:t>
      </w:r>
    </w:p>
    <w:p w:rsidR="00EF0E0C" w:rsidRPr="009C0F1C" w:rsidRDefault="00EF0E0C" w:rsidP="005C44E0">
      <w:pPr>
        <w:autoSpaceDE w:val="0"/>
        <w:autoSpaceDN w:val="0"/>
        <w:adjustRightInd w:val="0"/>
        <w:contextualSpacing/>
        <w:rPr>
          <w:rFonts w:asciiTheme="minorHAnsi" w:eastAsiaTheme="minorHAnsi" w:hAnsiTheme="minorHAnsi" w:cs="AkzidenzGroteskBE-Light"/>
          <w:szCs w:val="28"/>
          <w:lang w:val="fr-FR" w:eastAsia="en-US"/>
        </w:rPr>
      </w:pPr>
    </w:p>
    <w:p w:rsidR="00EF0E0C" w:rsidRPr="009C0F1C" w:rsidRDefault="00EF0E0C" w:rsidP="005C44E0">
      <w:pPr>
        <w:autoSpaceDE w:val="0"/>
        <w:autoSpaceDN w:val="0"/>
        <w:adjustRightInd w:val="0"/>
        <w:contextualSpacing/>
        <w:rPr>
          <w:rFonts w:asciiTheme="minorHAnsi" w:eastAsiaTheme="minorHAnsi" w:hAnsiTheme="minorHAnsi" w:cs="AkzidenzGroteskBE-Light"/>
          <w:b/>
          <w:szCs w:val="28"/>
          <w:lang w:val="fr-FR" w:eastAsia="en-US"/>
        </w:rPr>
      </w:pPr>
    </w:p>
    <w:p w:rsidR="00EF0E0C" w:rsidRPr="009C0F1C" w:rsidRDefault="00EF0E0C" w:rsidP="005C44E0">
      <w:pPr>
        <w:contextualSpacing/>
        <w:rPr>
          <w:sz w:val="22"/>
          <w:lang w:val="fr-FR"/>
        </w:rPr>
      </w:pPr>
    </w:p>
    <w:p w:rsidR="00EF0E0C" w:rsidRPr="009C0F1C" w:rsidRDefault="00EF0E0C" w:rsidP="00EF0E0C">
      <w:pPr>
        <w:contextualSpacing/>
        <w:rPr>
          <w:rFonts w:asciiTheme="minorHAnsi" w:hAnsiTheme="minorHAnsi"/>
          <w:lang w:val="fr-FR"/>
        </w:rPr>
      </w:pPr>
    </w:p>
    <w:sectPr w:rsidR="00EF0E0C" w:rsidRPr="009C0F1C" w:rsidSect="006D148C">
      <w:head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AED" w:rsidRDefault="00454AED" w:rsidP="00B0385B">
      <w:r>
        <w:separator/>
      </w:r>
    </w:p>
  </w:endnote>
  <w:endnote w:type="continuationSeparator" w:id="0">
    <w:p w:rsidR="00454AED" w:rsidRDefault="00454AED" w:rsidP="00B038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kzidenzGroteskBE-Light">
    <w:altName w:val="Times New Roman"/>
    <w:panose1 w:val="00000000000000000000"/>
    <w:charset w:val="00"/>
    <w:family w:val="roman"/>
    <w:notTrueType/>
    <w:pitch w:val="default"/>
    <w:sig w:usb0="00000003" w:usb1="00000000" w:usb2="00000000" w:usb3="00000000" w:csb0="00000001" w:csb1="00000000"/>
  </w:font>
  <w:font w:name="AkzidenzGroteskBE-Md">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AED" w:rsidRDefault="00454AED" w:rsidP="00B0385B">
      <w:r>
        <w:separator/>
      </w:r>
    </w:p>
  </w:footnote>
  <w:footnote w:type="continuationSeparator" w:id="0">
    <w:p w:rsidR="00454AED" w:rsidRDefault="00454AED" w:rsidP="00B0385B">
      <w:r>
        <w:continuationSeparator/>
      </w:r>
    </w:p>
  </w:footnote>
  <w:footnote w:id="1">
    <w:p w:rsidR="00B0385B" w:rsidRPr="009C0F1C" w:rsidRDefault="00B0385B" w:rsidP="005C44E0">
      <w:pPr>
        <w:autoSpaceDE w:val="0"/>
        <w:autoSpaceDN w:val="0"/>
        <w:adjustRightInd w:val="0"/>
        <w:spacing w:line="288" w:lineRule="auto"/>
        <w:rPr>
          <w:rFonts w:ascii="Arial" w:hAnsi="Arial" w:cs="Arial"/>
          <w:lang w:val="fr-FR"/>
        </w:rPr>
      </w:pPr>
      <w:r w:rsidRPr="005C44E0">
        <w:rPr>
          <w:rStyle w:val="Appelnotedebasdep"/>
          <w:rFonts w:ascii="Arial" w:hAnsi="Arial" w:cs="Arial"/>
          <w:sz w:val="20"/>
          <w:szCs w:val="20"/>
        </w:rPr>
        <w:footnoteRef/>
      </w:r>
      <w:r w:rsidR="00F86D3F" w:rsidRPr="00110007">
        <w:rPr>
          <w:rFonts w:ascii="Arial" w:hAnsi="Arial" w:cs="Arial"/>
          <w:sz w:val="20"/>
          <w:szCs w:val="20"/>
          <w:lang w:val="fr-FR"/>
        </w:rPr>
        <w:t xml:space="preserve"> Contenu adapté de : Protection des enfants victimes </w:t>
      </w:r>
      <w:r w:rsidR="00F86D3F" w:rsidRPr="00110007">
        <w:rPr>
          <w:rFonts w:ascii="Arial" w:hAnsi="Arial" w:cs="Arial"/>
          <w:bCs/>
          <w:sz w:val="20"/>
          <w:szCs w:val="20"/>
          <w:lang w:val="fr-FR"/>
        </w:rPr>
        <w:t xml:space="preserve">d'abus sexuels : </w:t>
      </w:r>
      <w:r w:rsidR="00F86D3F" w:rsidRPr="00110007">
        <w:rPr>
          <w:rFonts w:ascii="Arial" w:hAnsi="Arial" w:cs="Arial"/>
          <w:sz w:val="20"/>
          <w:szCs w:val="20"/>
          <w:lang w:val="fr-FR"/>
        </w:rPr>
        <w:t xml:space="preserve"> Lignes directrices à l'attention des fournisseurs de services psychosociaux dans les situations de crise humaine (2012), Comité international de secours et UNICEF : </w:t>
      </w:r>
      <w:hyperlink r:id="rId1" w:history="1">
        <w:r w:rsidR="00F86D3F" w:rsidRPr="009C0F1C">
          <w:rPr>
            <w:rStyle w:val="Lienhypertexte"/>
            <w:rFonts w:ascii="Arial" w:hAnsi="Arial" w:cs="Arial"/>
            <w:sz w:val="20"/>
            <w:szCs w:val="20"/>
            <w:lang w:val="fr-FR"/>
          </w:rPr>
          <w:t>http://www.unicef.org/pacificislands/IRC_CCSGuide_FullGuide_lowres.pdf</w:t>
        </w:r>
      </w:hyperlink>
      <w:r w:rsidR="00F86D3F" w:rsidRPr="00110007">
        <w:rPr>
          <w:rFonts w:ascii="Arial" w:hAnsi="Arial" w:cs="Arial"/>
          <w:color w:val="0000FF"/>
          <w:sz w:val="20"/>
          <w:szCs w:val="20"/>
          <w:u w:val="single"/>
          <w:lang w:val="fr-FR"/>
        </w:rPr>
        <w:t xml:space="preserve"> pp. 233-4 en dehors des informations relatives aux accords de service entre les agences de gestion des dossiers et les acteurs de référencement qui ont été utilisées par les agences de protection de l'enfance sur le terrain durant l'étude d'évaluation pour ce manuel de formation. </w:t>
      </w:r>
    </w:p>
  </w:footnote>
  <w:footnote w:id="2">
    <w:p w:rsidR="00EF0E0C" w:rsidRPr="009C0F1C" w:rsidRDefault="00EF0E0C" w:rsidP="005C44E0">
      <w:pPr>
        <w:spacing w:line="276" w:lineRule="auto"/>
        <w:rPr>
          <w:rFonts w:ascii="Arial" w:hAnsi="Arial" w:cs="Arial"/>
          <w:lang w:val="fr-FR"/>
        </w:rPr>
      </w:pPr>
      <w:r w:rsidRPr="005C44E0">
        <w:rPr>
          <w:rStyle w:val="Appelnotedebasdep"/>
          <w:rFonts w:ascii="Arial" w:hAnsi="Arial" w:cs="Arial"/>
          <w:sz w:val="20"/>
          <w:szCs w:val="20"/>
        </w:rPr>
        <w:footnoteRef/>
      </w:r>
      <w:r w:rsidR="00F86D3F" w:rsidRPr="009C0F1C">
        <w:rPr>
          <w:rFonts w:ascii="Arial" w:hAnsi="Arial" w:cs="Arial"/>
          <w:sz w:val="20"/>
          <w:szCs w:val="20"/>
          <w:lang w:val="fr-FR"/>
        </w:rPr>
        <w:t>Principes directeurs inter-institutions pour la gestion des dossiers &amp; la protection de l'enfance - Le rôle de la gestion des dossiers dans la protection de l'enfance :  Un guide pour les directeurs de politique et de programme et les travailleurs sociaux (2014) Groupe de travail lié à la gestion des dossiers, Section 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85B" w:rsidRPr="009C0F1C" w:rsidRDefault="00F86D3F" w:rsidP="00B0385B">
    <w:pPr>
      <w:pStyle w:val="En-tte"/>
      <w:rPr>
        <w:rFonts w:asciiTheme="minorHAnsi" w:hAnsiTheme="minorHAnsi"/>
        <w:color w:val="808080" w:themeColor="background1" w:themeShade="80"/>
        <w:lang w:val="fr-FR"/>
      </w:rPr>
    </w:pPr>
    <w:r w:rsidRPr="009C0F1C">
      <w:rPr>
        <w:rFonts w:ascii="Calibri" w:hAnsi="Calibri"/>
        <w:color w:val="808080"/>
        <w:lang w:val="fr-FR"/>
      </w:rPr>
      <w:t>Manuel de formation de gestion des dossiers Groupe de travail lié à la gestion des dossiers</w:t>
    </w:r>
  </w:p>
  <w:p w:rsidR="00B0385B" w:rsidRPr="009C0F1C" w:rsidRDefault="00B0385B" w:rsidP="00B0385B">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D2C37"/>
    <w:multiLevelType w:val="hybridMultilevel"/>
    <w:tmpl w:val="E8D84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D56383"/>
    <w:multiLevelType w:val="hybridMultilevel"/>
    <w:tmpl w:val="B23080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nsid w:val="0A133D40"/>
    <w:multiLevelType w:val="hybridMultilevel"/>
    <w:tmpl w:val="03A2CD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880B29"/>
    <w:multiLevelType w:val="hybridMultilevel"/>
    <w:tmpl w:val="AC049E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2722A47"/>
    <w:multiLevelType w:val="hybridMultilevel"/>
    <w:tmpl w:val="307202DE"/>
    <w:lvl w:ilvl="0" w:tplc="08090001">
      <w:start w:val="1"/>
      <w:numFmt w:val="bullet"/>
      <w:lvlText w:val=""/>
      <w:lvlJc w:val="left"/>
      <w:pPr>
        <w:ind w:left="360" w:hanging="360"/>
      </w:pPr>
      <w:rPr>
        <w:rFonts w:ascii="Symbol" w:hAnsi="Symbol"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32C0E2D"/>
    <w:multiLevelType w:val="hybridMultilevel"/>
    <w:tmpl w:val="29DEB7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BF30BE4"/>
    <w:multiLevelType w:val="hybridMultilevel"/>
    <w:tmpl w:val="4864B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0"/>
  </w:num>
  <w:num w:numId="6">
    <w:abstractNumId w:val="2"/>
  </w:num>
  <w:num w:numId="7">
    <w:abstractNumId w:val="1"/>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71CD2"/>
    <w:rsid w:val="000722B8"/>
    <w:rsid w:val="00110007"/>
    <w:rsid w:val="0022517B"/>
    <w:rsid w:val="00253CF7"/>
    <w:rsid w:val="00290739"/>
    <w:rsid w:val="002944AB"/>
    <w:rsid w:val="002C3DE2"/>
    <w:rsid w:val="00314E41"/>
    <w:rsid w:val="003172D5"/>
    <w:rsid w:val="00322938"/>
    <w:rsid w:val="0032775B"/>
    <w:rsid w:val="00454AED"/>
    <w:rsid w:val="00550B3E"/>
    <w:rsid w:val="005C44E0"/>
    <w:rsid w:val="006368B9"/>
    <w:rsid w:val="00671CD2"/>
    <w:rsid w:val="006D148C"/>
    <w:rsid w:val="007A17F5"/>
    <w:rsid w:val="008031E1"/>
    <w:rsid w:val="00824B31"/>
    <w:rsid w:val="00880710"/>
    <w:rsid w:val="009129B1"/>
    <w:rsid w:val="009C0F1C"/>
    <w:rsid w:val="009D07AB"/>
    <w:rsid w:val="009F1B2E"/>
    <w:rsid w:val="00A4473C"/>
    <w:rsid w:val="00B01D2C"/>
    <w:rsid w:val="00B0385B"/>
    <w:rsid w:val="00BE2EFC"/>
    <w:rsid w:val="00C77A2E"/>
    <w:rsid w:val="00D01A82"/>
    <w:rsid w:val="00D2687A"/>
    <w:rsid w:val="00E434BD"/>
    <w:rsid w:val="00EF0E0C"/>
    <w:rsid w:val="00F86D3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CD2"/>
    <w:pPr>
      <w:spacing w:after="0" w:line="240" w:lineRule="auto"/>
    </w:pPr>
    <w:rPr>
      <w:rFonts w:ascii="Times New Roman" w:eastAsia="MS Mincho" w:hAnsi="Times New Roman" w:cs="Times New Roman"/>
      <w:sz w:val="24"/>
      <w:szCs w:val="24"/>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71CD2"/>
    <w:pPr>
      <w:ind w:left="720"/>
      <w:contextualSpacing/>
    </w:pPr>
  </w:style>
  <w:style w:type="character" w:styleId="Marquedecommentaire">
    <w:name w:val="annotation reference"/>
    <w:basedOn w:val="Policepardfaut"/>
    <w:uiPriority w:val="99"/>
    <w:rsid w:val="00671CD2"/>
    <w:rPr>
      <w:rFonts w:cs="Times New Roman"/>
      <w:sz w:val="16"/>
    </w:rPr>
  </w:style>
  <w:style w:type="paragraph" w:styleId="Commentaire">
    <w:name w:val="annotation text"/>
    <w:basedOn w:val="Normal"/>
    <w:link w:val="CommentaireCar"/>
    <w:uiPriority w:val="99"/>
    <w:rsid w:val="00671CD2"/>
    <w:pPr>
      <w:jc w:val="both"/>
    </w:pPr>
    <w:rPr>
      <w:rFonts w:eastAsia="Calibri"/>
      <w:sz w:val="20"/>
      <w:szCs w:val="20"/>
      <w:lang w:eastAsia="en-AU"/>
    </w:rPr>
  </w:style>
  <w:style w:type="character" w:customStyle="1" w:styleId="CommentaireCar">
    <w:name w:val="Commentaire Car"/>
    <w:basedOn w:val="Policepardfaut"/>
    <w:link w:val="Commentaire"/>
    <w:uiPriority w:val="99"/>
    <w:rsid w:val="00671CD2"/>
    <w:rPr>
      <w:rFonts w:ascii="Times New Roman" w:eastAsia="Calibri" w:hAnsi="Times New Roman" w:cs="Times New Roman"/>
      <w:sz w:val="20"/>
      <w:szCs w:val="20"/>
      <w:lang w:val="en-AU" w:eastAsia="en-AU"/>
    </w:rPr>
  </w:style>
  <w:style w:type="paragraph" w:styleId="Textedebulles">
    <w:name w:val="Balloon Text"/>
    <w:basedOn w:val="Normal"/>
    <w:link w:val="TextedebullesCar"/>
    <w:uiPriority w:val="99"/>
    <w:semiHidden/>
    <w:unhideWhenUsed/>
    <w:rsid w:val="00671CD2"/>
    <w:rPr>
      <w:rFonts w:ascii="Tahoma" w:hAnsi="Tahoma" w:cs="Tahoma"/>
      <w:sz w:val="16"/>
      <w:szCs w:val="16"/>
    </w:rPr>
  </w:style>
  <w:style w:type="character" w:customStyle="1" w:styleId="TextedebullesCar">
    <w:name w:val="Texte de bulles Car"/>
    <w:basedOn w:val="Policepardfaut"/>
    <w:link w:val="Textedebulles"/>
    <w:uiPriority w:val="99"/>
    <w:semiHidden/>
    <w:rsid w:val="00671CD2"/>
    <w:rPr>
      <w:rFonts w:ascii="Tahoma" w:eastAsia="MS Mincho" w:hAnsi="Tahoma" w:cs="Tahoma"/>
      <w:sz w:val="16"/>
      <w:szCs w:val="16"/>
      <w:lang w:val="en-AU" w:eastAsia="ja-JP"/>
    </w:rPr>
  </w:style>
  <w:style w:type="paragraph" w:styleId="Notedebasdepage">
    <w:name w:val="footnote text"/>
    <w:basedOn w:val="Normal"/>
    <w:link w:val="NotedebasdepageCar"/>
    <w:uiPriority w:val="99"/>
    <w:semiHidden/>
    <w:unhideWhenUsed/>
    <w:rsid w:val="00B0385B"/>
    <w:rPr>
      <w:sz w:val="20"/>
      <w:szCs w:val="20"/>
    </w:rPr>
  </w:style>
  <w:style w:type="character" w:customStyle="1" w:styleId="NotedebasdepageCar">
    <w:name w:val="Note de bas de page Car"/>
    <w:basedOn w:val="Policepardfaut"/>
    <w:link w:val="Notedebasdepage"/>
    <w:uiPriority w:val="99"/>
    <w:semiHidden/>
    <w:rsid w:val="00B0385B"/>
    <w:rPr>
      <w:rFonts w:ascii="Times New Roman" w:eastAsia="MS Mincho" w:hAnsi="Times New Roman" w:cs="Times New Roman"/>
      <w:sz w:val="20"/>
      <w:szCs w:val="20"/>
      <w:lang w:val="en-AU" w:eastAsia="ja-JP"/>
    </w:rPr>
  </w:style>
  <w:style w:type="character" w:styleId="Appelnotedebasdep">
    <w:name w:val="footnote reference"/>
    <w:basedOn w:val="Policepardfaut"/>
    <w:uiPriority w:val="99"/>
    <w:semiHidden/>
    <w:unhideWhenUsed/>
    <w:rsid w:val="00B0385B"/>
    <w:rPr>
      <w:vertAlign w:val="superscript"/>
    </w:rPr>
  </w:style>
  <w:style w:type="paragraph" w:styleId="En-tte">
    <w:name w:val="header"/>
    <w:aliases w:val="ARC header"/>
    <w:basedOn w:val="Normal"/>
    <w:link w:val="En-tteCar"/>
    <w:uiPriority w:val="99"/>
    <w:unhideWhenUsed/>
    <w:rsid w:val="00B0385B"/>
    <w:pPr>
      <w:tabs>
        <w:tab w:val="center" w:pos="4513"/>
        <w:tab w:val="right" w:pos="9026"/>
      </w:tabs>
    </w:pPr>
  </w:style>
  <w:style w:type="character" w:customStyle="1" w:styleId="En-tteCar">
    <w:name w:val="En-tête Car"/>
    <w:aliases w:val="ARC header Car"/>
    <w:basedOn w:val="Policepardfaut"/>
    <w:link w:val="En-tte"/>
    <w:uiPriority w:val="99"/>
    <w:rsid w:val="00B0385B"/>
    <w:rPr>
      <w:rFonts w:ascii="Times New Roman" w:eastAsia="MS Mincho" w:hAnsi="Times New Roman" w:cs="Times New Roman"/>
      <w:sz w:val="24"/>
      <w:szCs w:val="24"/>
      <w:lang w:val="en-AU" w:eastAsia="ja-JP"/>
    </w:rPr>
  </w:style>
  <w:style w:type="paragraph" w:styleId="Pieddepage">
    <w:name w:val="footer"/>
    <w:basedOn w:val="Normal"/>
    <w:link w:val="PieddepageCar"/>
    <w:uiPriority w:val="99"/>
    <w:unhideWhenUsed/>
    <w:rsid w:val="00B0385B"/>
    <w:pPr>
      <w:tabs>
        <w:tab w:val="center" w:pos="4513"/>
        <w:tab w:val="right" w:pos="9026"/>
      </w:tabs>
    </w:pPr>
  </w:style>
  <w:style w:type="character" w:customStyle="1" w:styleId="PieddepageCar">
    <w:name w:val="Pied de page Car"/>
    <w:basedOn w:val="Policepardfaut"/>
    <w:link w:val="Pieddepage"/>
    <w:uiPriority w:val="99"/>
    <w:rsid w:val="00B0385B"/>
    <w:rPr>
      <w:rFonts w:ascii="Times New Roman" w:eastAsia="MS Mincho" w:hAnsi="Times New Roman" w:cs="Times New Roman"/>
      <w:sz w:val="24"/>
      <w:szCs w:val="24"/>
      <w:lang w:val="en-AU" w:eastAsia="ja-JP"/>
    </w:rPr>
  </w:style>
  <w:style w:type="character" w:styleId="Lienhypertexte">
    <w:name w:val="Hyperlink"/>
    <w:basedOn w:val="Policepardfaut"/>
    <w:uiPriority w:val="99"/>
    <w:unhideWhenUsed/>
    <w:rsid w:val="00EF0E0C"/>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CD2"/>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CD2"/>
    <w:pPr>
      <w:ind w:left="720"/>
      <w:contextualSpacing/>
    </w:pPr>
  </w:style>
  <w:style w:type="character" w:styleId="CommentReference">
    <w:name w:val="annotation reference"/>
    <w:basedOn w:val="DefaultParagraphFont"/>
    <w:uiPriority w:val="99"/>
    <w:rsid w:val="00671CD2"/>
    <w:rPr>
      <w:rFonts w:cs="Times New Roman"/>
      <w:sz w:val="16"/>
    </w:rPr>
  </w:style>
  <w:style w:type="paragraph" w:styleId="CommentText">
    <w:name w:val="annotation text"/>
    <w:basedOn w:val="Normal"/>
    <w:link w:val="CommentTextChar"/>
    <w:uiPriority w:val="99"/>
    <w:rsid w:val="00671CD2"/>
    <w:pPr>
      <w:jc w:val="both"/>
    </w:pPr>
    <w:rPr>
      <w:rFonts w:eastAsia="Calibri"/>
      <w:sz w:val="20"/>
      <w:szCs w:val="20"/>
      <w:lang w:eastAsia="en-AU"/>
    </w:rPr>
  </w:style>
  <w:style w:type="character" w:customStyle="1" w:styleId="CommentTextChar">
    <w:name w:val="Comment Text Char"/>
    <w:basedOn w:val="DefaultParagraphFont"/>
    <w:link w:val="CommentText"/>
    <w:uiPriority w:val="99"/>
    <w:rsid w:val="00671CD2"/>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71CD2"/>
    <w:rPr>
      <w:rFonts w:ascii="Tahoma" w:hAnsi="Tahoma" w:cs="Tahoma"/>
      <w:sz w:val="16"/>
      <w:szCs w:val="16"/>
    </w:rPr>
  </w:style>
  <w:style w:type="character" w:customStyle="1" w:styleId="BalloonTextChar">
    <w:name w:val="Balloon Text Char"/>
    <w:basedOn w:val="DefaultParagraphFont"/>
    <w:link w:val="BalloonText"/>
    <w:uiPriority w:val="99"/>
    <w:semiHidden/>
    <w:rsid w:val="00671CD2"/>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B0385B"/>
    <w:rPr>
      <w:sz w:val="20"/>
      <w:szCs w:val="20"/>
    </w:rPr>
  </w:style>
  <w:style w:type="character" w:customStyle="1" w:styleId="FootnoteTextChar">
    <w:name w:val="Footnote Text Char"/>
    <w:basedOn w:val="DefaultParagraphFont"/>
    <w:link w:val="FootnoteText"/>
    <w:uiPriority w:val="99"/>
    <w:semiHidden/>
    <w:rsid w:val="00B0385B"/>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B0385B"/>
    <w:rPr>
      <w:vertAlign w:val="superscript"/>
    </w:rPr>
  </w:style>
  <w:style w:type="paragraph" w:styleId="Header">
    <w:name w:val="header"/>
    <w:aliases w:val="ARC header"/>
    <w:basedOn w:val="Normal"/>
    <w:link w:val="HeaderChar"/>
    <w:uiPriority w:val="99"/>
    <w:unhideWhenUsed/>
    <w:rsid w:val="00B0385B"/>
    <w:pPr>
      <w:tabs>
        <w:tab w:val="center" w:pos="4513"/>
        <w:tab w:val="right" w:pos="9026"/>
      </w:tabs>
    </w:pPr>
  </w:style>
  <w:style w:type="character" w:customStyle="1" w:styleId="HeaderChar">
    <w:name w:val="Header Char"/>
    <w:aliases w:val="ARC header Char"/>
    <w:basedOn w:val="DefaultParagraphFont"/>
    <w:link w:val="Header"/>
    <w:uiPriority w:val="99"/>
    <w:rsid w:val="00B0385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B0385B"/>
    <w:pPr>
      <w:tabs>
        <w:tab w:val="center" w:pos="4513"/>
        <w:tab w:val="right" w:pos="9026"/>
      </w:tabs>
    </w:pPr>
  </w:style>
  <w:style w:type="character" w:customStyle="1" w:styleId="FooterChar">
    <w:name w:val="Footer Char"/>
    <w:basedOn w:val="DefaultParagraphFont"/>
    <w:link w:val="Footer"/>
    <w:uiPriority w:val="99"/>
    <w:rsid w:val="00B0385B"/>
    <w:rPr>
      <w:rFonts w:ascii="Times New Roman" w:eastAsia="MS Mincho" w:hAnsi="Times New Roman" w:cs="Times New Roman"/>
      <w:sz w:val="24"/>
      <w:szCs w:val="24"/>
      <w:lang w:val="en-AU" w:eastAsia="ja-JP"/>
    </w:rPr>
  </w:style>
  <w:style w:type="character" w:styleId="Hyperlink">
    <w:name w:val="Hyperlink"/>
    <w:basedOn w:val="DefaultParagraphFont"/>
    <w:uiPriority w:val="99"/>
    <w:unhideWhenUsed/>
    <w:rsid w:val="00EF0E0C"/>
    <w:rPr>
      <w:color w:val="0000FF"/>
      <w:u w:val="single"/>
    </w:rPr>
  </w:style>
</w:styles>
</file>

<file path=word/webSettings.xml><?xml version="1.0" encoding="utf-8"?>
<w:webSettings xmlns:r="http://schemas.openxmlformats.org/officeDocument/2006/relationships" xmlns:w="http://schemas.openxmlformats.org/wordprocessingml/2006/main">
  <w:divs>
    <w:div w:id="6679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unicef.org/pacificislands/IRC_CCSGuide_FullGuide_low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EDE2-8F6A-41A1-8C66-B9147ADFC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917</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6</cp:revision>
  <dcterms:created xsi:type="dcterms:W3CDTF">2014-05-13T09:56:00Z</dcterms:created>
  <dcterms:modified xsi:type="dcterms:W3CDTF">2014-05-12T21:10:00Z</dcterms:modified>
</cp:coreProperties>
</file>